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7C" w:rsidRPr="00EE7AB2" w:rsidRDefault="00FB7FAF" w:rsidP="00616201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36"/>
          <w:szCs w:val="36"/>
          <w:lang w:val="en-US" w:eastAsia="bg-BG"/>
        </w:rPr>
        <w:t xml:space="preserve">  </w:t>
      </w:r>
      <w:bookmarkStart w:id="0" w:name="_GoBack"/>
      <w:bookmarkEnd w:id="0"/>
      <w:r w:rsidR="00616201" w:rsidRPr="00385519">
        <w:rPr>
          <w:rFonts w:ascii="Times New Roman" w:eastAsia="Times New Roman" w:hAnsi="Times New Roman"/>
          <w:color w:val="000000" w:themeColor="text1"/>
          <w:sz w:val="36"/>
          <w:szCs w:val="36"/>
          <w:lang w:eastAsia="bg-BG"/>
        </w:rPr>
        <w:t>ПРОЕКТ НА</w:t>
      </w:r>
      <w:r w:rsidR="00D56C7C" w:rsidRPr="00385519">
        <w:rPr>
          <w:rFonts w:ascii="Times New Roman" w:eastAsia="Times New Roman" w:hAnsi="Times New Roman"/>
          <w:color w:val="000000" w:themeColor="text1"/>
          <w:sz w:val="36"/>
          <w:szCs w:val="36"/>
          <w:lang w:eastAsia="bg-BG"/>
        </w:rPr>
        <w:t xml:space="preserve">  ВЪТРЕШНИ </w:t>
      </w:r>
      <w:r w:rsidR="00D56C7C" w:rsidRPr="00EE7AB2">
        <w:rPr>
          <w:rFonts w:ascii="Times New Roman" w:eastAsia="Times New Roman" w:hAnsi="Times New Roman"/>
          <w:sz w:val="36"/>
          <w:szCs w:val="36"/>
          <w:lang w:eastAsia="bg-BG"/>
        </w:rPr>
        <w:t>ПРАВИЛА</w:t>
      </w:r>
    </w:p>
    <w:p w:rsidR="00D56C7C" w:rsidRPr="00EE7AB2" w:rsidRDefault="00D56C7C" w:rsidP="00616201">
      <w:pPr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EE7AB2">
        <w:rPr>
          <w:rFonts w:ascii="Times New Roman" w:eastAsia="Times New Roman" w:hAnsi="Times New Roman"/>
          <w:sz w:val="32"/>
          <w:szCs w:val="32"/>
          <w:lang w:eastAsia="bg-BG"/>
        </w:rPr>
        <w:t>ЗА ОРГАНИЗАЦИЯТА И РЕДА ЗА ПРОВЕРКА НА ДЕКЛАРАЦИИ      И ЗА УСТАНОВЯ</w:t>
      </w:r>
      <w:r w:rsidR="00623394">
        <w:rPr>
          <w:rFonts w:ascii="Times New Roman" w:eastAsia="Times New Roman" w:hAnsi="Times New Roman"/>
          <w:sz w:val="32"/>
          <w:szCs w:val="32"/>
          <w:lang w:eastAsia="bg-BG"/>
        </w:rPr>
        <w:t xml:space="preserve">ВАНЕ НА КОНФЛИКТ НА ИНТЕРЕСИ </w:t>
      </w:r>
      <w:r w:rsidRPr="00EE7AB2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В ОБЩИНСКИ СЪВЕТ -  </w:t>
      </w:r>
      <w:r w:rsidR="00623394">
        <w:rPr>
          <w:rFonts w:ascii="Times New Roman" w:eastAsia="Times New Roman" w:hAnsi="Times New Roman"/>
          <w:sz w:val="32"/>
          <w:szCs w:val="32"/>
          <w:lang w:eastAsia="bg-BG"/>
        </w:rPr>
        <w:t>ЕЛИН ПЕЛИН</w:t>
      </w:r>
    </w:p>
    <w:p w:rsidR="00D56C7C" w:rsidRPr="00EE7AB2" w:rsidRDefault="00D56C7C" w:rsidP="00D56C7C">
      <w:pPr>
        <w:ind w:left="1416" w:firstLine="708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D56C7C" w:rsidRPr="00EE7AB2" w:rsidRDefault="00D56C7C" w:rsidP="0061620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 ПОЛОЖЕНИЯ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Чл.1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 С тези правила се уреждат организацията и редът за извършване на проверка на декларациите по чл.35, ал.1, т.1-4 от Закона за противодействие на корупцията и отнемане на незаконно придобитото имущество /ЗПКОНПИ/  и за установяване на конфликт на интереси на следните лица :</w:t>
      </w:r>
    </w:p>
    <w:p w:rsidR="00D56C7C" w:rsidRPr="00EE7AB2" w:rsidRDefault="00D56C7C" w:rsidP="0061620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Кметовете на кметства в Община </w:t>
      </w:r>
      <w:r w:rsidR="009F7C2F"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</w:p>
    <w:p w:rsidR="00D56C7C" w:rsidRPr="00EE7AB2" w:rsidRDefault="00D56C7C" w:rsidP="0061620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на Община </w:t>
      </w:r>
      <w:r w:rsidR="009F7C2F"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в органите на управление или контрол на търговски дружества с общинско участие в капитала  или на юридически лица с нестопанска цел, които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не попадат в обхвата на чл.6, ал.1 от ЗПКОНПИ и са избрани с решени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на Общински  съвет – </w:t>
      </w:r>
      <w:r w:rsidR="009F7C2F"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/2/ С правилата се уреждат също и работата на комисията по §2, ал.5 от ДР на ЗПКОНПИ при Общински съвет – </w:t>
      </w:r>
      <w:r w:rsidR="00C93C1A"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съхраняването, обработването на данните  и унищожаването на деклара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циите на лицата по ал.1, т.1 – 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Чл.2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.  В изпълнение на ЗПКОНПИ и Наредбата за организацията и реда за извършване на проверка на декларациите и за установяване на конфликт на интереси /НОРИПДУКИ/  Общинският съвет :</w:t>
      </w:r>
    </w:p>
    <w:p w:rsidR="00D56C7C" w:rsidRPr="00EE7AB2" w:rsidRDefault="00D56C7C" w:rsidP="00616201">
      <w:pPr>
        <w:numPr>
          <w:ilvl w:val="0"/>
          <w:numId w:val="4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 Избира постоянната комисия по чл.72, ал.1, т.3 и §2, ал.5 от ДР на ЗПКОНПИ и  чл.12,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ал.1,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във връзка с чл.24, ал.1 от НОРИПДУКИ с наименование </w:t>
      </w:r>
      <w:r w:rsidR="00385519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„Предотвратяване и установяване конфликт на интереси“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, наричана за краткост в тези правила „</w:t>
      </w: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комисията“.</w:t>
      </w:r>
    </w:p>
    <w:p w:rsidR="00D56C7C" w:rsidRPr="00EE7AB2" w:rsidRDefault="00D56C7C" w:rsidP="00616201">
      <w:pPr>
        <w:numPr>
          <w:ilvl w:val="0"/>
          <w:numId w:val="4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Приема тези вътрешни правила.</w:t>
      </w:r>
    </w:p>
    <w:p w:rsidR="00D56C7C" w:rsidRPr="00EE7AB2" w:rsidRDefault="00D56C7C" w:rsidP="00616201">
      <w:pPr>
        <w:numPr>
          <w:ilvl w:val="0"/>
          <w:numId w:val="4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По предложение на кмета на общината определя състав на комисията по чл.11, ал.2 от НОРИПДУКИ към кметове на кметства,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чл.2 от наредбата.</w:t>
      </w:r>
    </w:p>
    <w:p w:rsidR="00D56C7C" w:rsidRPr="00EE7AB2" w:rsidRDefault="00D56C7C" w:rsidP="00616201">
      <w:pPr>
        <w:numPr>
          <w:ilvl w:val="0"/>
          <w:numId w:val="4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разглежда и взема решение по доклад на комисията, с който се установяват данни за несъвместимост 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на лице по чл.1, ал.1, т.2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от тези правила;</w:t>
      </w:r>
    </w:p>
    <w:p w:rsidR="00D56C7C" w:rsidRPr="00EE7AB2" w:rsidRDefault="00D56C7C" w:rsidP="00616201">
      <w:pPr>
        <w:numPr>
          <w:ilvl w:val="0"/>
          <w:numId w:val="4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Приема решения за наличие на конфликт на интереси по образувани производства за установяване на конфликт на интереси по отношение 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на лица по чл.1, ал.1, т.2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от тези правила.</w:t>
      </w:r>
    </w:p>
    <w:p w:rsidR="00D56C7C" w:rsidRPr="00EE7AB2" w:rsidRDefault="00D56C7C" w:rsidP="00616201">
      <w:pPr>
        <w:numPr>
          <w:ilvl w:val="0"/>
          <w:numId w:val="4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Осъществява други функции, предвидени в ЗПКОНПИ, НОРИПДУКИ и тези правила.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Чл.3.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В изпълнение на ЗПКОНПИ и НОРИПДУКИ  председателят на Общинският съвет :</w:t>
      </w:r>
    </w:p>
    <w:p w:rsidR="00D56C7C" w:rsidRPr="00EE7AB2" w:rsidRDefault="00D56C7C" w:rsidP="00616201">
      <w:pPr>
        <w:numPr>
          <w:ilvl w:val="0"/>
          <w:numId w:val="5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lastRenderedPageBreak/>
        <w:t>Разпределя на комисията постъпили в деловодството на Общинския съвет сигнали и искания за извършени  корупционни нарушения и конфликт на интереси по отношени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е на лицата по чл.1, ал.1, т.1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.</w:t>
      </w:r>
    </w:p>
    <w:p w:rsidR="00D56C7C" w:rsidRPr="00385519" w:rsidRDefault="00D56C7C" w:rsidP="00616201">
      <w:pPr>
        <w:numPr>
          <w:ilvl w:val="0"/>
          <w:numId w:val="5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</w:pPr>
      <w:r w:rsidRPr="003855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Определя</w:t>
      </w:r>
      <w:r w:rsidR="00385519" w:rsidRPr="003855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 дневния ред </w:t>
      </w:r>
      <w:r w:rsidR="0036371A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и свиква </w:t>
      </w:r>
      <w:r w:rsidR="00385519" w:rsidRPr="003855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 комисията.</w:t>
      </w:r>
    </w:p>
    <w:p w:rsidR="00D56C7C" w:rsidRPr="00EE7AB2" w:rsidRDefault="00D56C7C" w:rsidP="00616201">
      <w:pPr>
        <w:numPr>
          <w:ilvl w:val="0"/>
          <w:numId w:val="5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Публикува на страницата на ОС, съвместно с председателя на комисията, всички декларации  по чл.35, ал.1, т.1-4 от ЗПКОНПИ на лицата по чл.1, ал.1, с изключение на част първа от декларациите за имущество и интереси, както и списък на неподалите в срок съответните декларации;</w:t>
      </w:r>
    </w:p>
    <w:p w:rsidR="00D56C7C" w:rsidRPr="00EE7AB2" w:rsidRDefault="00D56C7C" w:rsidP="00616201">
      <w:pPr>
        <w:numPr>
          <w:ilvl w:val="0"/>
          <w:numId w:val="5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Включва в дневния ред на заседание на Общинския съвет доклади и становища на комисията, съответно относно установени данни за несъвместимост и наличието или липса на конфликт на интере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си на лица по чл.1, ал.1, т.2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, избрани от съвета.</w:t>
      </w:r>
    </w:p>
    <w:p w:rsidR="00D56C7C" w:rsidRPr="00EE7AB2" w:rsidRDefault="00D56C7C" w:rsidP="00616201">
      <w:pPr>
        <w:numPr>
          <w:ilvl w:val="0"/>
          <w:numId w:val="5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Осъществява други функции, предвидени в ЗПКОНПИ, НОРИПДУКИ и тези правила.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 xml:space="preserve">Чл.4 </w:t>
      </w:r>
      <w:r w:rsidRPr="00E80F19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bg-BG"/>
        </w:rPr>
        <w:t>/</w:t>
      </w:r>
      <w:r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1/ Постоянната комисия по </w:t>
      </w:r>
      <w:r w:rsidR="00B40ACC"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„Предотвратяване и установяване конфликт на интереси“</w:t>
      </w:r>
      <w:r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 при Общински съвет – </w:t>
      </w:r>
      <w:r w:rsidR="00941E50"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Елин Пелин</w:t>
      </w:r>
      <w:r w:rsidR="00E80F19"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, избрана с решение №14</w:t>
      </w:r>
      <w:r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/</w:t>
      </w:r>
      <w:r w:rsidR="00E80F19"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27.11.</w:t>
      </w:r>
      <w:r w:rsidRPr="00E80F19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2015г.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изпълнява функциите на  комисия по чл.72, ал.1, т.3 и §2, ал.5 от ДР на ЗПКОНПИ и  чл.12, 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ал.1,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във връзка с чл.24, ал.1 от НОРИПДУКИ, наричана за краткост в тези правила „комисията“.</w:t>
      </w:r>
    </w:p>
    <w:p w:rsidR="00D56C7C" w:rsidRPr="00C54426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</w:pPr>
      <w:r w:rsidRPr="00C5442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/2/ Броят и състава на комисията се определя с решение на Общинския съвет. В комисията се избират само общински съветници.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/3/ При осъществяване на правомощията си по ал.5 комисията приема решения с мнозинство повече от половината от състава си.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/4/  При изпълнение на правомощията си комисията приема решения. С решения могат да се приемат доклади и становища. Решенията, докладите  и становищата на комисията се номерират.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/5/ Комисията :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1. утвърждава образец на декларациите за несъвместимост и промяна в декларираните обстоятелства по несъвместимостта съответно по чл.35, ал.1, т.1 и т.3 от ЗПКОНПИ на лицата по чл.1, ал.1 от правилата;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2.приема, обработва данни и съхранява всички декларации по чл.35, ал.1, т.1-4 от ЗПКОНПИ в това число коригиращите на лицата по чл.1, ал.1 от тези правила;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3.  изготвя и приема доклади по чл.3, ал.8 от НОРИПДУКИ относно спазването на сроковете за подаване на декларациите;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4. води регистър на подадените декларации по чл.4, ал.2 от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от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НОРИПДУКИ;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5. приема решение за образуване на проверка на декларациите за имущество и интереси на лице по чл.1 от тези правила в случаите на чл.13, ал.1 от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от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НОРИПДУКИ и извършва същата;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6. приема решение, с което установява съответствие или несъответствие на проверявана декларация за имущество и интереси на лице по чл.1, ал.1;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7.  приема решение за образуване на проверка на декларациите за несъвместимост на  и извършва същата;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8. приема доклад за установяване или неустановяване на несъвместимост на съответното лице по чл.1;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lastRenderedPageBreak/>
        <w:t>9. приема решение за образуване, отказ за образуване и прекратяване  на производство за установяване на конфликт на интереси по отношение на кметове на кметства;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10. предлага на общинския съвет да приеме решение за образуване, отказ за образуване и прекратяване на производство за установяване на конфликт на интереси по отношение на лица по чл.1,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ал.1, т.2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;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11. извършва проверка за наличие или липса на конфликт на интереси по отношение на лицата по чл.1, ал.1;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12. приема решение за установяване на конфликт на интереси по отношение на кметовете на кметства;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13. приема становище до Общинския съвет в рамките на проверка за установяване на решение на конфликт на интереси по отношение 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на лице по чл.1, ал.1, т.2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от тези правила;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14. предоставя изискани информация и документи на 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Комисията за предотвратяване на корупцията и отнемане на незаконно придобитото имущество /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КПКОНПИ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във връзка с производства за конфликт на интереси;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15. осъществява други функции, предвидени в ЗПКОНПИ, НОРИПДУКИ и тези правила. 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/6/ 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– </w:t>
      </w:r>
      <w:r w:rsidR="001654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Елин Пелин, неговите комисии и взаимодействието му с Общинска администрация.</w:t>
      </w:r>
    </w:p>
    <w:p w:rsidR="00D56C7C" w:rsidRPr="00C54426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</w:pPr>
      <w:r w:rsidRPr="00C54426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bg-BG"/>
        </w:rPr>
        <w:t>Чл.5</w:t>
      </w:r>
      <w:r w:rsidRPr="00C5442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 Председателят на комисията :  </w:t>
      </w:r>
    </w:p>
    <w:p w:rsidR="00D56C7C" w:rsidRPr="00C54426" w:rsidRDefault="00D56C7C" w:rsidP="00616201">
      <w:pPr>
        <w:numPr>
          <w:ilvl w:val="0"/>
          <w:numId w:val="6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</w:pPr>
      <w:r w:rsidRPr="00C5442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 xml:space="preserve">ръководи </w:t>
      </w:r>
      <w:r w:rsidR="00C54426" w:rsidRPr="00C5442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заседанията на комисията</w:t>
      </w:r>
      <w:r w:rsidRPr="00C5442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;</w:t>
      </w:r>
    </w:p>
    <w:p w:rsidR="00D56C7C" w:rsidRPr="00C54426" w:rsidRDefault="00D56C7C" w:rsidP="00616201">
      <w:pPr>
        <w:numPr>
          <w:ilvl w:val="0"/>
          <w:numId w:val="6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</w:pPr>
      <w:r w:rsidRPr="00C5442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Подписва изходящата кореспонденция на комисията;</w:t>
      </w:r>
    </w:p>
    <w:p w:rsidR="00D56C7C" w:rsidRPr="00EE7AB2" w:rsidRDefault="00D56C7C" w:rsidP="00616201">
      <w:pPr>
        <w:numPr>
          <w:ilvl w:val="0"/>
          <w:numId w:val="6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Публикува на страницата на ОС, съвместно с председателя на ОС, всички декларации  по чл.35, ал.1, т.1-4 от ЗПКОНПИ на лицата по чл.1, ал.1, с изключение е на част първа от декларациите за имущество и интереси, както и списък на неподалите в срок съответните декларации;</w:t>
      </w:r>
    </w:p>
    <w:p w:rsidR="00D56C7C" w:rsidRPr="00EE7AB2" w:rsidRDefault="00D56C7C" w:rsidP="00085ECD">
      <w:pPr>
        <w:numPr>
          <w:ilvl w:val="0"/>
          <w:numId w:val="6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Изпраща решенията на комисията на компетентните държавни органи;</w:t>
      </w:r>
    </w:p>
    <w:p w:rsidR="00D56C7C" w:rsidRPr="00EE7AB2" w:rsidRDefault="00D56C7C" w:rsidP="00085ECD">
      <w:pPr>
        <w:numPr>
          <w:ilvl w:val="0"/>
          <w:numId w:val="6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Съставя актове за установяване на административни</w:t>
      </w:r>
      <w:r w:rsidR="008C62EF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нарушения на чл.176 от ЗПКОНПИ</w:t>
      </w:r>
      <w:r w:rsidR="00647A9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, във връзка с</w:t>
      </w:r>
      <w:r w:rsidR="008C62EF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§2</w:t>
      </w:r>
      <w:r w:rsidR="00647A9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, ал.10 от  Допълнителните разпоредби на ЗПКОНПИ.</w:t>
      </w:r>
    </w:p>
    <w:p w:rsidR="00D56C7C" w:rsidRPr="00EE7AB2" w:rsidRDefault="00D56C7C" w:rsidP="00085ECD">
      <w:pPr>
        <w:numPr>
          <w:ilvl w:val="0"/>
          <w:numId w:val="6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О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съществява други функции, предвидени в ЗПКОНПИ, НОРИПДУКИ и тези правила.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bg-BG"/>
        </w:rPr>
        <w:t xml:space="preserve">Чл.6 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/1/</w:t>
      </w:r>
      <w:r w:rsidRPr="00EE7AB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Всеки, който разполага с данни за корупционно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нарушение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или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конфликт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интереси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смисъла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ЗПКОНПИ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лице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чл.1,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ал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.1 от тези правила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може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подаде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постоянната комисия.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2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Всеки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следва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съдържа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: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1. </w:t>
      </w:r>
      <w:proofErr w:type="spellStart"/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органа</w:t>
      </w:r>
      <w:proofErr w:type="spellEnd"/>
      <w:proofErr w:type="gram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който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подава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;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2. </w:t>
      </w:r>
      <w:proofErr w:type="spellStart"/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трите</w:t>
      </w:r>
      <w:proofErr w:type="spellEnd"/>
      <w:proofErr w:type="gram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имена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единен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граждански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номер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съответно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личен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номер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чужденец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адрес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както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телефон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факс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електронен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адрес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подателя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ако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има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такива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;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3. </w:t>
      </w:r>
      <w:proofErr w:type="spellStart"/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имената</w:t>
      </w:r>
      <w:proofErr w:type="spellEnd"/>
      <w:proofErr w:type="gram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лицето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срещу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което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подава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сигналът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заеманата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от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него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длъжност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ако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подателят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разполага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с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данни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нея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;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4. </w:t>
      </w:r>
      <w:proofErr w:type="spellStart"/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конкретни</w:t>
      </w:r>
      <w:proofErr w:type="spellEnd"/>
      <w:proofErr w:type="gram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данни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твърдяното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нарушение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в т. ч.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място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период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извършване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нарушението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описание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деянието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други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обстоятелства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при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които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е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било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извършено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;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lastRenderedPageBreak/>
        <w:t xml:space="preserve">5. </w:t>
      </w:r>
      <w:proofErr w:type="spellStart"/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позоваване</w:t>
      </w:r>
      <w:proofErr w:type="spellEnd"/>
      <w:proofErr w:type="gram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документи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или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други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източници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които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съдържат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информация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подкрепяща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изложеното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в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в т. ч.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посочване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данни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лица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които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биха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могли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потвърдят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съобщените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данни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или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предоставят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допълнителна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информация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;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6. </w:t>
      </w:r>
      <w:proofErr w:type="spellStart"/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дата</w:t>
      </w:r>
      <w:proofErr w:type="spellEnd"/>
      <w:proofErr w:type="gram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подаване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;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7. </w:t>
      </w:r>
      <w:proofErr w:type="spellStart"/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подпис</w:t>
      </w:r>
      <w:proofErr w:type="spellEnd"/>
      <w:proofErr w:type="gram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подателя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.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3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Към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може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да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приложат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източниците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информация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подкрепящи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изложените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в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него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твърдения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4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приема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публикация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в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средствата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за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масово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осведомяване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ако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отговаря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условията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ал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. </w:t>
      </w:r>
      <w:proofErr w:type="gram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2, т. 3 – 5.</w:t>
      </w:r>
      <w:proofErr w:type="gramEnd"/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5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Всеки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регистрира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незабавно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след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постъпването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му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.</w:t>
      </w:r>
    </w:p>
    <w:p w:rsidR="00D56C7C" w:rsidRPr="00C54426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</w:pPr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bg-BG"/>
        </w:rPr>
        <w:t>/</w:t>
      </w:r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6</w:t>
      </w:r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bg-BG"/>
        </w:rPr>
        <w:t>/</w:t>
      </w:r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Когато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сигналът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не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съдържа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някой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от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посочените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в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ал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. </w:t>
      </w:r>
      <w:proofErr w:type="gram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2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реквизити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подателят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уведомява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r w:rsidR="00EC1AA5"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bg-BG"/>
        </w:rPr>
        <w:t xml:space="preserve">от комисията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да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отстрани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недостатъците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в 3-дневен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срок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от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съобщението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за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това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с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указание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че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при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неотстраняването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им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в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срок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сигналът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ще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бъде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оставен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без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разглеждане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.</w:t>
      </w:r>
      <w:proofErr w:type="gram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bg-BG"/>
        </w:rPr>
        <w:t xml:space="preserve"> </w:t>
      </w:r>
      <w:proofErr w:type="spellStart"/>
      <w:proofErr w:type="gram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Срокът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за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произнасяне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по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сигнала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започва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да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тече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от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датата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отстраняване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 xml:space="preserve"> на </w:t>
      </w:r>
      <w:proofErr w:type="spellStart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нередовността</w:t>
      </w:r>
      <w:proofErr w:type="spellEnd"/>
      <w:r w:rsidRPr="00C54426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val="en-US" w:eastAsia="bg-BG"/>
        </w:rPr>
        <w:t>.</w:t>
      </w:r>
      <w:proofErr w:type="gramEnd"/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7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/</w:t>
      </w:r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Анонимни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сигнали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разглеждат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и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не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се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препращат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по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val="en-US" w:eastAsia="bg-BG"/>
        </w:rPr>
        <w:t>компетентност</w:t>
      </w:r>
      <w:proofErr w:type="spellEnd"/>
      <w:r w:rsidRPr="00EE7AB2">
        <w:rPr>
          <w:rFonts w:ascii="Times New Roman" w:eastAsia="Times New Roman" w:hAnsi="Times New Roman"/>
          <w:bCs/>
          <w:spacing w:val="2"/>
          <w:sz w:val="24"/>
          <w:szCs w:val="24"/>
          <w:lang w:eastAsia="bg-BG"/>
        </w:rPr>
        <w:t>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bg-BG"/>
        </w:rPr>
        <w:t>Чл.8</w:t>
      </w: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. /1/ Приемането на декларациите, съхранението, обработването на данните от тях, въвеждането на данни в регистъра по </w:t>
      </w:r>
      <w:r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чл.4, ал.2 от НОРИПДУКИ,</w:t>
      </w: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2"/>
          <w:sz w:val="24"/>
          <w:szCs w:val="24"/>
          <w:lang w:eastAsia="bg-BG"/>
        </w:rPr>
        <w:t>Чл. 9.</w:t>
      </w: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 /1/ Лицата, на които е възложено разглеждане на сигнала по чл.6, ал.1, както и които участват в провеждане на производството по установяване на конфликт на интереси са длъжни :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1. да не  разкриват самоличността на лицето, подало сигнала;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2. да не разгласяват фактите и данните, които са станали известни на компетентните органи и длъжностни лица във връзка с разглеждането на сигнала;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3. да опазват поверените на органите и на длъжностните лица писмени документи от нерегламентиран достъп на трети лица.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/2/  Заседанията на органите по тези правила, на които се разглежда сигнал за корупция или конфликт на интереси и се провеждат процесуални действия по същите са закрити за външни лица.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/3/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обстоятелства, от които може да се изясни самоличността на </w:t>
      </w:r>
      <w:proofErr w:type="spellStart"/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сигналоподателя</w:t>
      </w:r>
      <w:proofErr w:type="spellEnd"/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.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/4/ Лицата по ал.1 носят отговорност за неизпълнението на задълженията си по тази норма.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/5/ Лице, което е уволнено, преследвано или по отношение на което са предприети действия водещи до психически или физически тормоз, заради това, че е подало сигнал има </w:t>
      </w:r>
      <w:r w:rsidRPr="00EE7AB2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lastRenderedPageBreak/>
        <w:t>право на обезщетение за претърпените от него имуществени и неимуществени вреди по съдебен ред..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</w:p>
    <w:p w:rsidR="00D56C7C" w:rsidRPr="00964C54" w:rsidRDefault="00D56C7C" w:rsidP="00964C54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0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РЕД ЗА ПОДАВАНЕ, СЪХРАНЯВАНЕ, ОБРАБОТКА НА ДАННИ И УНИЩОЖАВАНЕ  НА ДЕКЛАРАЦИИТЕ</w:t>
      </w:r>
    </w:p>
    <w:p w:rsidR="00964C54" w:rsidRPr="00EE7AB2" w:rsidRDefault="00964C54" w:rsidP="00964C54">
      <w:pPr>
        <w:tabs>
          <w:tab w:val="left" w:pos="709"/>
        </w:tabs>
        <w:spacing w:after="120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Чл.10</w:t>
      </w:r>
      <w:r w:rsidR="0095358B">
        <w:rPr>
          <w:rFonts w:ascii="Times New Roman" w:eastAsia="Times New Roman" w:hAnsi="Times New Roman"/>
          <w:sz w:val="24"/>
          <w:szCs w:val="24"/>
          <w:lang w:eastAsia="bg-BG"/>
        </w:rPr>
        <w:t xml:space="preserve"> /1/ Лицата по чл.1, ал.1, т.1-2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подават декларациите по чл.35, ал.1 от ЗПКОНПИ пред комисията в определените в закона срокове.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/2/ Всички декларации се подават на хартиен и електронен носител.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/3/ Декларациите по чл.35, ал.1, т.1 и т.3 се подават по образците, утвърдени от комисията.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Декларациите по чл.35, ал.1, т.2 и т.4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подават по образците, утвърд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 от КПКОНПИ.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/4/  Всяка подадена декларация се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входира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с номер и дата и отбелязва в регистъра на декларациите от</w:t>
      </w:r>
      <w:r w:rsidR="00964C54">
        <w:rPr>
          <w:rFonts w:ascii="Times New Roman" w:eastAsia="Times New Roman" w:hAnsi="Times New Roman"/>
          <w:sz w:val="24"/>
          <w:szCs w:val="24"/>
          <w:lang w:eastAsia="bg-BG"/>
        </w:rPr>
        <w:t xml:space="preserve"> служителите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в звеното при Общински съвет – </w:t>
      </w:r>
      <w:r w:rsidR="00964C54"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/5/ До 20 дни преди изтичане на срок за подаване на декларация, който е известен  на съответното задължено лице по чл.1, ал.1 се връчва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напомнително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 за задължението, подписано от председателя на ОС и председателя на комисията.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Чл.11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/1/ Регистърът на подадените декларации има реквизитите по чл.4, ал.2 от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НОРИПДУКИ.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/2/ Регистърът се поддържа на хартиен и електронен носител.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/3/ Регистърът е публичен и се публикува на сайта на Общинския съвет.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/4/ Данните в регистъра по отношение на лице по чл.1, ал.1 с прекратено правоотношение или изгубило качеството – заемащо публична длъжност“ се заличават до един месец от настъпване на съответния факт.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Чл.12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това се налага за отстра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няване на непълноти и грешки. Коригиращата декларация се подава с изцяло нов образец и получава входящия номер на коригираната декларация.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Чл.13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/1/ На сайта на Общинския съвет се създава и поддържа  отделна рубрика „Декларации и регистър на декларациите по ЗПКОНПИ“.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/2/ В рубриката се публикуват :</w:t>
      </w:r>
    </w:p>
    <w:p w:rsidR="00D56C7C" w:rsidRPr="00EE7AB2" w:rsidRDefault="00D56C7C" w:rsidP="00616201">
      <w:pPr>
        <w:numPr>
          <w:ilvl w:val="0"/>
          <w:numId w:val="7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Всички декларации по чл.35, ал.1, т.1-4 от ЗПКОНПИ на лицата по чл.1, ал.1 с изключение на част първа от декларациите по чл.35, ал.1 ,т.2 и съответстващите им  декларации по чл.35, ал.1, т.4, с които се изменят декларирани обстоятелства по част първа;</w:t>
      </w:r>
    </w:p>
    <w:p w:rsidR="00D56C7C" w:rsidRPr="00EE7AB2" w:rsidRDefault="00D56C7C" w:rsidP="00616201">
      <w:pPr>
        <w:numPr>
          <w:ilvl w:val="0"/>
          <w:numId w:val="7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Регистъра на декларациите по чл.11 от тези правила;</w:t>
      </w:r>
    </w:p>
    <w:p w:rsidR="00D56C7C" w:rsidRPr="00EE7AB2" w:rsidRDefault="00D56C7C" w:rsidP="00616201">
      <w:pPr>
        <w:numPr>
          <w:ilvl w:val="0"/>
          <w:numId w:val="7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Списък на неподалите в срок декларации за имущество и интереси, изготвен от комисията.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/3/   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един, съответно до два месеца от изтичане на сроковете за подаването им. При публикацията съответните лични данни се заличават.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/4/ Публикацията на документите по ал.2 се извършва на основание съвместна резолюция на председателя на Общинския съвет и на комисията, поставена върху хартиения носител на съответния документ.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Елекронният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им вариант се публикува до два работни дни от издаване на резолюцията от </w:t>
      </w:r>
      <w:r w:rsidR="00766A5E">
        <w:rPr>
          <w:rFonts w:ascii="Times New Roman" w:eastAsia="Times New Roman" w:hAnsi="Times New Roman"/>
          <w:sz w:val="24"/>
          <w:szCs w:val="24"/>
          <w:lang w:eastAsia="bg-BG"/>
        </w:rPr>
        <w:t>служителите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звеното по чл.29а от ЗМСМА.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Чл.14 /1/ Хартиените и електронните носители на декларациите се съхраняват в каса и не се изнасят извън помещенията на Общинския съвет.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/2/ Предоставянето на копия от декларациите се извършва само по искане на компетентен орган и след решение на постоянната комисия.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/3/ Декларациите на лицата по чл.1, ал.1, подадени на хартиен или електронен носител,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Чл.15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/1/ Достъп до декларациите по чл.35, ал.1 от ЗПКОНПИ, съответно до информацията по тях, която не е публикувана е ограничен.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/2/ Достъп до декларациите по чл.35, ал.1 от ЗПКОНПИ  съответно до информацията по тях, която не е публикувана, както и право да обработват данни по тях, съгласно чл.4, ал.5 от НОРИПДУКИ,  имат само :</w:t>
      </w:r>
    </w:p>
    <w:p w:rsidR="00D56C7C" w:rsidRPr="00EE7AB2" w:rsidRDefault="00D56C7C" w:rsidP="00616201">
      <w:pPr>
        <w:numPr>
          <w:ilvl w:val="0"/>
          <w:numId w:val="8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Общинския съвет;</w:t>
      </w:r>
    </w:p>
    <w:p w:rsidR="00D56C7C" w:rsidRPr="00EE7AB2" w:rsidRDefault="00D56C7C" w:rsidP="00616201">
      <w:pPr>
        <w:numPr>
          <w:ilvl w:val="0"/>
          <w:numId w:val="8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Председателят и членовете на комисията;</w:t>
      </w:r>
    </w:p>
    <w:p w:rsidR="00D56C7C" w:rsidRPr="00EE7AB2" w:rsidRDefault="00766A5E" w:rsidP="00616201">
      <w:pPr>
        <w:numPr>
          <w:ilvl w:val="0"/>
          <w:numId w:val="8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Служителите</w:t>
      </w:r>
      <w:r w:rsidR="00D56C7C"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в звеното по чл.29</w:t>
      </w:r>
      <w:r w:rsidR="00D56C7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56C7C"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ЗМСМА.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/3/ Лицата по алинея 2, подписват декларация, че се задължават да спазват режима за защита на личните данни и няма да разпространяват данни станали им известни във връзка с достъпа до декларациите, която е  приложение 1 и  е неразделна част от настоящите правила.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Чл.16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/1/ След изтичане на срока по чл.11, ал.3 хартиените и електронни носители на съответните декларации, както и всички техни електронни копия, а също предоставените или събрани във връзка с декларациите документи се</w:t>
      </w:r>
      <w:r w:rsidR="00C544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унищожават.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/2/ Хартиените носители подлежат на  нарязване, а електронните се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унищоват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, за което се съставят съответните протоколи. 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</w:p>
    <w:p w:rsidR="00D56C7C" w:rsidRPr="00EE7AB2" w:rsidRDefault="00D56C7C" w:rsidP="00682E8B">
      <w:pPr>
        <w:numPr>
          <w:ilvl w:val="0"/>
          <w:numId w:val="2"/>
        </w:numPr>
        <w:spacing w:after="120" w:line="240" w:lineRule="auto"/>
        <w:ind w:left="0" w:firstLine="0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РЕД ЗА ИЗВЪРШВАНЕ НА ПРОВЕРКА НА ДЕКЛАРАЦИИ</w:t>
      </w:r>
    </w:p>
    <w:p w:rsidR="00682E8B" w:rsidRDefault="00682E8B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</w:pP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 xml:space="preserve">Чл.17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/1/</w:t>
      </w: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В срок до един месец 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декларации. Към доклада се прилага списък на неподалите в срок декларации за имущество и интереси лица по чл.1, ал.1 от тези правила.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/2/ В случай, че няма неподадени в срок декларации за имущество и интереси комисията също в срока по ал.1 изготвя доклад до председателя на Общинския съвет, в който  този факт се отразява.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Чл.18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Комисията извършва проверка за съответствие и достоверност на съдържанието на декларациите за имущество и интереси на лицата по Чл.1, ал.1  при наличие на някое от следните основания:</w:t>
      </w:r>
    </w:p>
    <w:p w:rsidR="00D56C7C" w:rsidRPr="00EE7AB2" w:rsidRDefault="00D56C7C" w:rsidP="00616201">
      <w:pPr>
        <w:numPr>
          <w:ilvl w:val="0"/>
          <w:numId w:val="9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lastRenderedPageBreak/>
        <w:t>При подаване на сигнал за корупционно нарушение или конфликт на интереси, съответно при предаване в електронна медия или публикация, които отговарят на условията по чл.6, ал.2, т.3-5 от тези правила;</w:t>
      </w:r>
    </w:p>
    <w:p w:rsidR="00D56C7C" w:rsidRPr="00EE7AB2" w:rsidRDefault="00D56C7C" w:rsidP="00616201">
      <w:pPr>
        <w:numPr>
          <w:ilvl w:val="0"/>
          <w:numId w:val="9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Когато се открият данни за корупционно нарушение или конфликт на интереси при образувано дисциплинарно производство или в хода на друга проверка;</w:t>
      </w:r>
    </w:p>
    <w:p w:rsidR="00D56C7C" w:rsidRPr="00EE7AB2" w:rsidRDefault="00D56C7C" w:rsidP="00616201">
      <w:pPr>
        <w:numPr>
          <w:ilvl w:val="0"/>
          <w:numId w:val="9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Ако лице, заемащо публична длъжност по чл.1, ал.1 работи в звено на администрацията, което според методология, приета от КПКОНП и установено с акт на постоянната комисия е с висок корупционен риск.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Чл.19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/1/ При наличие на някое от основанията по чл.18 и въз основа на доклад на председателя на комисията  или определен от него член комисията приема решение за образуване на проверка на декларациите за имущество и интереси на съответното лице.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/2/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комисията има осигурен достъп. Тя не обхваща фактите от декларациите, до които комисията не е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оправомощена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по специален закон да поиска и получи информация.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/3/ При условията на ал.2 се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преверяват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всички факти, до които комисията има достъп във всички декларации на съответното лице.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/4/ Проверката на декларациите се извършва в срок до два месеца от образуването и протича, независимо от установяването на конфликт на интереси и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ли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дисциплинарното производство срещу същото лице.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Чл.20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/1/ В хода на проверката комисията събира доказателства чрез :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1. достъп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„Електронно управление“;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2.</w:t>
      </w:r>
      <w:r w:rsidRPr="00EE7AB2">
        <w:t xml:space="preserve">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искания на информацията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удостоверяване,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им.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/2/ Проверката се извършва чрез съпоставяне на декларираните факти със събраните по реда на ал.1 доказателства.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>Чл.21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При установено несъответствие между декларираните факти и информацията, получена по реда на чл.20, ал.1 от тези правила  комисията уведомяват писмено лицето, подало декларацията, като указва в какво се състои констатираното несъответствие и му дава 14-дневен срок от получаване на уведомлението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 лицето може да направи възражение и да представи доказателства в същия срок.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 xml:space="preserve">Чл.22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/1/</w:t>
      </w: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 xml:space="preserve"> 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Ако комисията не установи несъответствие проверката на декларациите приключва с приемане на решение за съответствие, което съдържа фактическа част относно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lastRenderedPageBreak/>
        <w:t xml:space="preserve">проверените декларирани факти и информацията,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диспозитив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със заключение за съответствие, дата и подписите на членовете на комисията. 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/2/</w:t>
      </w: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Ако комисията установи несъответствие, което не е отстранено по реда на чл.21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,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проверката приключва с приемане на решение за несъответствие, което съдържа фактическа част относно проверените декларирани факти и информацията,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диспозитив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със заключение за съответствие, дата и подписите на членовете на комисията. 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/3/ Решенията се връчват на заинтересованото лице и се изпращат на председателя на Общинския съвет за сведение. Към тях  се прилагат декларацията/декларациите и носителите на информацията, получена по реда на чл.20.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 xml:space="preserve">/4/ Решението по ал.2 подлежи на оспорване от заинтересованото лице по реда на АПК в 14-дневен срок от връчването му пред  Административен съд 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– </w:t>
      </w:r>
      <w:r w:rsidR="00805D0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София област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.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 xml:space="preserve">/5/ Ако установеното несъответствие е над 5 000лв. влязлото в сила решение по ал.2 се изпраща на Националната агенция по приходите за предприемане на действия по реда на Данъчно-осигурителния процесуален кодекс. 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pacing w:val="-1"/>
          <w:sz w:val="24"/>
          <w:szCs w:val="24"/>
          <w:lang w:eastAsia="bg-BG"/>
        </w:rPr>
        <w:t xml:space="preserve">Чл.23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/1/ Комисията извършва проверка за съответствие и достоверност на съдържанието на декларациите за несъвместимост на лицата по чл.1, ал.1  при наличие на някое от следните основания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: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1. на всяка подадена декларация от лице по чл.1, ал.1 в срок от един месец от подаването й;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2.</w:t>
      </w:r>
      <w:r w:rsidRPr="00EE7AB2">
        <w:t xml:space="preserve">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при подаден срещу лицето сигнал за несъвместимост;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 xml:space="preserve">3. когато в хода на друга проверка се открият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нововъзникнали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факти и обстоятелства, както и факти и обстоятелства, които не са били известни при извършване на проверката по т.1.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ab/>
        <w:t>/2/ При наличие н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а основанията по ал.1, т.2 и т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проверката  на декларацията за несъвместимост на лицата по  чл.1, ал.1, се образува с решение на комисията по предложение на нейния председател или член. 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/3/ Проверката се провежда за срок от един месец от приемане на решението за образуването й.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/4/ Тя протича при условията на чл.19 и чл.20. Адресат на искане за информация от комисията изпраща същата в 14-дневен срок от получаване на искането.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/5/ Проверката приключва с доклад на комисията, адресиран до Общинската избирателна комисия по отношение на кметовете на кметства  и до Общински съвет – </w:t>
      </w:r>
      <w:r w:rsidR="00805D0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Елин Пелин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в с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лучаите на чл.1, ал.1, т.2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.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членовете на комисията. Към доклада се прилагат декларацията/декларациите и носителите на информацията.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/6/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несъвместимост.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/7/ При установени данни за несъвместимост в доклада по отношение на </w:t>
      </w:r>
      <w:r w:rsidR="0095358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лице по чл.1, ал.1, т.2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Общинският съвет връчва доклада и съответните материали на заинтересованото лице, което може да направи писмени възражения и представи доказателства в 7 – дневен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lastRenderedPageBreak/>
        <w:t xml:space="preserve">срок от получаването му. Проверката приключва с решение на Общинският съвет, прието въз основа на нов доклад на комисията, в който се обсъждат евентуално представените от съответното лице възражения и доказателства. 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/8/ Решенията по ал.7 се връчват на заинтересованото лице. Решение на Общинския съвет, с което е установена несъвместимост  подлежи на оспорване от заинтересованото лице по реда на АПК в 14-дневен срок от връчването му пред  Административен съд 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– </w:t>
      </w:r>
      <w:r w:rsidR="00805D0B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София област.</w:t>
      </w:r>
    </w:p>
    <w:p w:rsidR="00D56C7C" w:rsidRPr="00EE7AB2" w:rsidRDefault="00D56C7C" w:rsidP="00616201">
      <w:pPr>
        <w:spacing w:after="120" w:line="240" w:lineRule="auto"/>
        <w:ind w:firstLine="705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/9/ При установена несъвместимост с влязло в сила решение органите по ал.5 предприемат действия по осъществяване на последиците от несъвместимостта, предвидени в съответните закони.</w:t>
      </w:r>
    </w:p>
    <w:p w:rsidR="00D56C7C" w:rsidRPr="00EE7AB2" w:rsidRDefault="00D56C7C" w:rsidP="00616201">
      <w:pPr>
        <w:spacing w:after="12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C7C" w:rsidRPr="00EE7AB2" w:rsidRDefault="00D56C7C" w:rsidP="00805D0B">
      <w:pPr>
        <w:numPr>
          <w:ilvl w:val="0"/>
          <w:numId w:val="2"/>
        </w:numPr>
        <w:spacing w:after="120" w:line="240" w:lineRule="auto"/>
        <w:ind w:left="0" w:firstLine="0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ПРЕДОТВРАТЯВАНЕ И УСТАНОВЯВАНЕ НА КОНФЛИКТ НА ИНТЕРЕСИ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Чл.24</w:t>
      </w:r>
      <w:r w:rsidRPr="00EE7AB2">
        <w:rPr>
          <w:b/>
        </w:rPr>
        <w:t xml:space="preserve"> </w:t>
      </w:r>
      <w:r w:rsidRPr="00EE7AB2">
        <w:t xml:space="preserve">/1/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лице по чл. 1, ал. 1 от тези правила  има частен интерес по смисъла на чл. 53 от ЗПКОНПИ, то е длъжно да си направи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самоотвод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изпълнението на конкретното правомощие или задължение по служба.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/2/ Комисията е длъжна да направи отвод на лице по чл. 1, ал.1,  ако разполагат с данни за негов частен интерес във връзка с изпълнение на конкретно правомощие или задължение по служба.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/3/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Самоотводите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отводите се правят незабавно след възникването им или след узнаването на данни за наличие на частен интерес и се мотивират.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25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/1/</w:t>
      </w: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Производството по установяване на конфликт на интереси по отношени</w:t>
      </w:r>
      <w:r w:rsidR="0095358B">
        <w:rPr>
          <w:rFonts w:ascii="Times New Roman" w:eastAsia="Times New Roman" w:hAnsi="Times New Roman"/>
          <w:sz w:val="24"/>
          <w:szCs w:val="24"/>
          <w:lang w:eastAsia="bg-BG"/>
        </w:rPr>
        <w:t>е на лицата по чл.1, ал.1, т.1-2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от тези правила се образува: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1. при подаден сигнал по чл. 6, ал. 1, съответно по чл. 6, ал. 4;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2. служебно, по решение на Общинския съвет в с</w:t>
      </w:r>
      <w:r w:rsidR="0095358B">
        <w:rPr>
          <w:rFonts w:ascii="Times New Roman" w:eastAsia="Times New Roman" w:hAnsi="Times New Roman"/>
          <w:sz w:val="24"/>
          <w:szCs w:val="24"/>
          <w:lang w:eastAsia="bg-BG"/>
        </w:rPr>
        <w:t>лучаите на чл.1, ал.1, т.2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, а за кметовете на кметства – на комисията;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3. по искане на лице по чл. 1, ал. 1.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/2/ Трите основания се регистрират незабавно след възникването им в специален регистър.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Чл.26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/1/ Производството за установяване на конфликт на интереси се образува служебно по чл.25, ал.1, т.2   по решение на Общинския съвет в </w:t>
      </w:r>
      <w:r w:rsidR="0095358B">
        <w:rPr>
          <w:rFonts w:ascii="Times New Roman" w:eastAsia="Times New Roman" w:hAnsi="Times New Roman"/>
          <w:sz w:val="24"/>
          <w:szCs w:val="24"/>
          <w:lang w:eastAsia="bg-BG"/>
        </w:rPr>
        <w:t>случаите на чл.1, ал.1, т.2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на комисията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отношение на кметове на кметства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, съответно по предложение на постоянната комисия и председателя или член на постоянната комисия, ако при осъществяване на служебните си задължения са установили конкретни данни, пораждащи съмнения за конфликт на интереси.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Чл.27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/1/ Искането по чл. 25, ал.1, т. 3 трябва да съдържа: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1. трите имена и длъжността на лицето;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2. описание на конкретния случай, по отношение на който се отправя искането;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3. дата на подаване на искането;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4. подпис на подателя.</w:t>
      </w:r>
    </w:p>
    <w:p w:rsidR="00D56C7C" w:rsidRPr="00F51950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1950">
        <w:rPr>
          <w:rFonts w:ascii="Times New Roman" w:eastAsia="Times New Roman" w:hAnsi="Times New Roman"/>
          <w:sz w:val="24"/>
          <w:szCs w:val="24"/>
          <w:lang w:eastAsia="bg-BG"/>
        </w:rPr>
        <w:t>/2/ Когато искането не отговаря на условията по ал. 1, лицето се уведомява от комисията да отстрани недостатъците в 3-дневен срок от съобщението за това с указание, че при неотстраняването им в срок производството по искането ще бъде прекратено.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/3/ По отношение на искането се прилагат разпоредбите на чл. 6, ал. 3, 5 и 7.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Чл.28</w:t>
      </w:r>
      <w:r w:rsidRPr="00EE7AB2"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Чл.29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/1/</w:t>
      </w: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Образуването, отказът от образуване и прекратяването на производството се извършват с решение на Общински съвет – </w:t>
      </w:r>
      <w:r w:rsidR="0021542A">
        <w:rPr>
          <w:rFonts w:ascii="Times New Roman" w:eastAsia="Times New Roman" w:hAnsi="Times New Roman"/>
          <w:sz w:val="24"/>
          <w:szCs w:val="24"/>
          <w:lang w:eastAsia="bg-BG"/>
        </w:rPr>
        <w:t xml:space="preserve">Елин Пелин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по предложение на комисията за</w:t>
      </w:r>
      <w:r w:rsidR="00E8670B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лицата по чл.1, ал.1, т.2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, а  за кметовете на кметство – с решение на съответната постоянна комисия по предложение на неин председател или член.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/2/ Производството протича в срок до два месеца от образуването му. При случаи на фактическа и правна сложност срокът може да се продължи еднократно с 30 дни.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/3/ Производство по ал.1 не се образува или образуваното производство се прекратява, когато: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1. в сигнала или искането липсва някой от реквизитите по чл. 6, ал. 2, съответно по чл. 27, ал. 1, и недостатъкът не е отстранен в указания срок;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2. са изтекли сроковете по чл. 28;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3. сигналът или искането са подадени до некомпетентен орган;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6. сигналът е подаден срещу лице, което не заема публич</w:t>
      </w:r>
      <w:r w:rsidR="00E8670B">
        <w:rPr>
          <w:rFonts w:ascii="Times New Roman" w:eastAsia="Times New Roman" w:hAnsi="Times New Roman"/>
          <w:sz w:val="24"/>
          <w:szCs w:val="24"/>
          <w:lang w:eastAsia="bg-BG"/>
        </w:rPr>
        <w:t>на длъжност по чл.1, ал.1, т.1-2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/4/ Проверката за наличието или за липсата на предпоставките по ал. 2 се извършва от комисията.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/5/ В случаите на ал. 3, т. 3 сигналът или искането се препращат незабавно на компетентния орган, за което се уведомява подателят.</w:t>
      </w:r>
    </w:p>
    <w:p w:rsidR="00D56C7C" w:rsidRPr="00EE7AB2" w:rsidRDefault="00D56C7C" w:rsidP="00B40ACC">
      <w:pPr>
        <w:shd w:val="clear" w:color="auto" w:fill="FFFFFF" w:themeFill="background1"/>
        <w:tabs>
          <w:tab w:val="left" w:pos="1853"/>
        </w:tabs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Чл.30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Проверката за наличието или за липсата на конфликт на интереси на кметовете на кметства и на </w:t>
      </w:r>
      <w:r w:rsidR="00E8670B">
        <w:rPr>
          <w:rFonts w:ascii="Times New Roman" w:eastAsia="Times New Roman" w:hAnsi="Times New Roman"/>
          <w:sz w:val="24"/>
          <w:szCs w:val="24"/>
          <w:lang w:eastAsia="bg-BG"/>
        </w:rPr>
        <w:t>лицата по чл. 1, ал. 1, т. 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, когато са избрани с решение на съответния общински съвет, се извършва от </w:t>
      </w:r>
      <w:r w:rsidR="00B40ACC">
        <w:rPr>
          <w:rFonts w:ascii="Times New Roman" w:eastAsia="Times New Roman" w:hAnsi="Times New Roman"/>
          <w:sz w:val="24"/>
          <w:szCs w:val="24"/>
          <w:lang w:eastAsia="bg-BG"/>
        </w:rPr>
        <w:t>комисията.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Чл.31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Доказателствата за наличието или за липсата на конфликт на интереси се събират по реда на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кодекс.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/2/ Комисията изисква и получава информация от органи на държавната власт, от органи на местното самоуправление, както и от физически и юридически лица. В искането се посочват номерата на решенията за избор на комисията и за образуване на производството.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Чл.32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Лицето, срещу което е образувано производството осъществява правото си на защита като :</w:t>
      </w:r>
    </w:p>
    <w:p w:rsidR="00D56C7C" w:rsidRPr="00EE7AB2" w:rsidRDefault="00D56C7C" w:rsidP="00616201">
      <w:pPr>
        <w:numPr>
          <w:ilvl w:val="0"/>
          <w:numId w:val="10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комисията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относно защитата на подалия сигнала и чл.9, ал.1, т.1-3 от тези правила;</w:t>
      </w:r>
    </w:p>
    <w:p w:rsidR="00D56C7C" w:rsidRPr="00EE7AB2" w:rsidRDefault="00D56C7C" w:rsidP="00616201">
      <w:pPr>
        <w:numPr>
          <w:ilvl w:val="0"/>
          <w:numId w:val="10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предоставя му се дава възможност да направи възражение в 7-дневен срок от предоставяне на преписката;</w:t>
      </w:r>
    </w:p>
    <w:p w:rsidR="00D56C7C" w:rsidRPr="00EE7AB2" w:rsidRDefault="00D56C7C" w:rsidP="00616201">
      <w:pPr>
        <w:numPr>
          <w:ilvl w:val="0"/>
          <w:numId w:val="10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представи и/или сочи нови доказателства, които да се съберат;</w:t>
      </w:r>
    </w:p>
    <w:p w:rsidR="00D56C7C" w:rsidRPr="00EE7AB2" w:rsidRDefault="00D56C7C" w:rsidP="00616201">
      <w:pPr>
        <w:numPr>
          <w:ilvl w:val="0"/>
          <w:numId w:val="10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се изслушва от комисията, за което поканата се връчва не по-късно от 7 дни преди датата на изслушването и се съставя протокол, подписан от членовете на комисията и заинтересованото лице.</w:t>
      </w:r>
    </w:p>
    <w:p w:rsidR="00D56C7C" w:rsidRPr="00EE7AB2" w:rsidRDefault="00D56C7C" w:rsidP="00616201">
      <w:pPr>
        <w:numPr>
          <w:ilvl w:val="0"/>
          <w:numId w:val="10"/>
        </w:numPr>
        <w:spacing w:after="12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Ползва адвокатска защита.</w:t>
      </w:r>
    </w:p>
    <w:p w:rsidR="0021542A" w:rsidRDefault="0021542A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Чл.33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/1/</w:t>
      </w: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производството е образувано по отношение </w:t>
      </w:r>
      <w:r w:rsidR="00E8670B">
        <w:rPr>
          <w:rFonts w:ascii="Times New Roman" w:eastAsia="Times New Roman" w:hAnsi="Times New Roman"/>
          <w:sz w:val="24"/>
          <w:szCs w:val="24"/>
          <w:lang w:eastAsia="bg-BG"/>
        </w:rPr>
        <w:t>на лице по чл.1, ал.1, т.2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, комисията приема становище за наличие или липса на конфликт на интереси или за прекратяване на производството, което внася в Общинския съвет, ведно с цялата преписка в 7-дневен срок от приемането му.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/2/ Становището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съдържа фактическа част относно проверените декларирани факти и информацията, събрана в хода на проверката, заключение за наличие или за липса на конфликт на интереси или за прекратяване на производството, дата и подписите на членовете на комисията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.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/3/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твото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. Общинският съвет може да върне преписката на комисията за събиране на допълнителни доказателства.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Чл.34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/1/ Когато производството е образувано по отношение на кмет на кметство постоянната комисия, се произнася с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мотивирирано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за наличието или липсата на конфликт на интереси или за прекратяване на производството.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/2/ Актът по ал. 1 съдържа: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1. наименованието на органа, който го издава;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2. адресата на акта;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3. фактическите и правните основания за постановяването му;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4. направените от лицето възражения и мотиви в случай на неприемане;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диспозитивна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част, в която се установява липсата или наличието на конфликт на интереси и се налага глоба по чл. 171 от ЗПКОНПИ или се прекратява производството;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6. срок и съд, пред който може да се обжалва;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7. дата на издаване и подпис/подписи.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(4) В акта, с който е установен конфликт на интереси, се посочва и срок за доброволно изпълнение на наложената глоба.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 35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. /1/ Решенията по чл.33, ал.3 и чл.34, ал.1 се връчват на :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1. заинтересованото лице; 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2. окръжната прокуратура по седалището на органа по чл. 26, ал. 1.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/2/ Актът, с който се установява конфликт на интереси, може да се оспори от заинтересованото лице в 14 – дневен срок от връчването му пред Административен съд –</w:t>
      </w:r>
      <w:r w:rsidRPr="00EE7AB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E06D6">
        <w:rPr>
          <w:rFonts w:ascii="Times New Roman" w:eastAsia="Times New Roman" w:hAnsi="Times New Roman"/>
          <w:sz w:val="24"/>
          <w:szCs w:val="24"/>
          <w:lang w:eastAsia="bg-BG"/>
        </w:rPr>
        <w:t>София област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 по реда на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кодекс.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/3/ Прокурорът може да подаде протест срещу решение, с което не се установява конфликт на интереси пред съда в срок един месец от съобщаване на решението.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 36.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D56C7C" w:rsidRPr="00EE7AB2" w:rsidRDefault="00D56C7C" w:rsidP="00616201">
      <w:pPr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(2) Влезлият в сила акт, с който е установен конфликт на интереси по отношение на кмет на кметство, се съобщава и на съответната Общинска избирателна комисия.</w:t>
      </w:r>
    </w:p>
    <w:p w:rsidR="00D56C7C" w:rsidRPr="00EE7AB2" w:rsidRDefault="00D56C7C" w:rsidP="0061620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Чл. 37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. За неуредените в тази глава въпроси се прилагат съответно глава осма от ЗПКОНПИ, АПК и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НОРИПДУКИ.</w:t>
      </w:r>
    </w:p>
    <w:p w:rsidR="00D56C7C" w:rsidRPr="00EE7AB2" w:rsidRDefault="00D56C7C" w:rsidP="00616201">
      <w:pPr>
        <w:pStyle w:val="a5"/>
        <w:spacing w:after="120"/>
        <w:ind w:firstLine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C7C" w:rsidRPr="0015557F" w:rsidRDefault="00D56C7C" w:rsidP="00616201">
      <w:pPr>
        <w:spacing w:after="120" w:line="240" w:lineRule="auto"/>
        <w:ind w:left="2124"/>
        <w:jc w:val="both"/>
        <w:textAlignment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555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ПРЕХОДНИ И ЗАКЛЮЧИТЕЛНИ РАЗПОРЕДБИ :</w:t>
      </w:r>
    </w:p>
    <w:p w:rsidR="00D56C7C" w:rsidRPr="00616201" w:rsidRDefault="00D56C7C" w:rsidP="00616201">
      <w:pPr>
        <w:spacing w:after="120" w:line="240" w:lineRule="auto"/>
        <w:ind w:left="2124"/>
        <w:jc w:val="both"/>
        <w:textAlignment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D56C7C" w:rsidRPr="00C54426" w:rsidRDefault="00D56C7C" w:rsidP="0061620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</w:pPr>
      <w:r w:rsidRPr="001555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§1 </w:t>
      </w:r>
      <w:r w:rsidRPr="00C5442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Тези правила се приемат на основание чл.10, във връзка с §3 от Преходните и заключителни разпоредби на </w:t>
      </w:r>
      <w:r w:rsidRPr="00C5442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bg-BG"/>
        </w:rPr>
        <w:t>НОРИПДУКИ.</w:t>
      </w:r>
    </w:p>
    <w:p w:rsidR="00D56C7C" w:rsidRPr="00EE7AB2" w:rsidRDefault="00FB7FAF" w:rsidP="0061620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1870" wp14:editId="7D6F77D2">
                <wp:simplePos x="0" y="0"/>
                <wp:positionH relativeFrom="column">
                  <wp:posOffset>309880</wp:posOffset>
                </wp:positionH>
                <wp:positionV relativeFrom="paragraph">
                  <wp:posOffset>157480</wp:posOffset>
                </wp:positionV>
                <wp:extent cx="551497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4pt,12.4pt" to="458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" strokecolor="black [3040]"/>
            </w:pict>
          </mc:Fallback>
        </mc:AlternateContent>
      </w:r>
    </w:p>
    <w:p w:rsidR="000E06D6" w:rsidRDefault="00D56C7C" w:rsidP="000E06D6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56C7C" w:rsidRPr="00EE7AB2" w:rsidRDefault="00D56C7C" w:rsidP="000E06D6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  <w:t>ПРИЛОЖЕНИЕ 1</w:t>
      </w:r>
      <w:r w:rsidR="009F7C2F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Вътрешните правила</w:t>
      </w:r>
    </w:p>
    <w:p w:rsidR="00D56C7C" w:rsidRPr="00EE7AB2" w:rsidRDefault="00D56C7C" w:rsidP="00D56C7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6C7C" w:rsidRPr="00EE7AB2" w:rsidRDefault="00D56C7C" w:rsidP="00D56C7C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7AB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EE7AB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EE7AB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EE7AB2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Д Е К Л А Р А Ц И Я </w:t>
      </w:r>
    </w:p>
    <w:p w:rsidR="00D56C7C" w:rsidRPr="00EE7AB2" w:rsidRDefault="00D56C7C" w:rsidP="00D621F8">
      <w:pPr>
        <w:tabs>
          <w:tab w:val="left" w:pos="3869"/>
        </w:tabs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7AB2">
        <w:rPr>
          <w:rFonts w:ascii="Times New Roman" w:eastAsia="Times New Roman" w:hAnsi="Times New Roman"/>
          <w:sz w:val="28"/>
          <w:szCs w:val="28"/>
          <w:lang w:eastAsia="bg-BG"/>
        </w:rPr>
        <w:t xml:space="preserve">ПО ЧЛ.15 ВЪТРЕШНИ ПРАВИЛА  ЗА ОРГАНИЗАЦИЯТА И РЕДА ЗА ПРОВЕРКА НА ДЕКЛАРАЦИИ      И ЗА УСТАНОВЯВАНЕ НА КОНФЛИКТ НА ИНТЕРЕСИ     В ОБЩИНСКИ СЪВЕТ -  </w:t>
      </w:r>
      <w:r w:rsidR="000E06D6">
        <w:rPr>
          <w:rFonts w:ascii="Times New Roman" w:eastAsia="Times New Roman" w:hAnsi="Times New Roman"/>
          <w:sz w:val="28"/>
          <w:szCs w:val="28"/>
          <w:lang w:eastAsia="bg-BG"/>
        </w:rPr>
        <w:t>ЕЛИН ПЕЛИН</w:t>
      </w:r>
    </w:p>
    <w:p w:rsidR="00D56C7C" w:rsidRPr="00EE7AB2" w:rsidRDefault="00D56C7C" w:rsidP="00D56C7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С настоящата подписаният …………………………….. , в качеството си на ……………………………………………..</w:t>
      </w:r>
    </w:p>
    <w:p w:rsidR="00D56C7C" w:rsidRPr="00EE7AB2" w:rsidRDefault="00D56C7C" w:rsidP="00D56C7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  <w:t>Д Е К Л А Р И Р А М :</w:t>
      </w:r>
    </w:p>
    <w:p w:rsidR="00D56C7C" w:rsidRPr="00EE7AB2" w:rsidRDefault="00D56C7C" w:rsidP="00D56C7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Че ще спазвам регламент</w:t>
      </w:r>
      <w:r w:rsidRPr="00EE7AB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(E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EE7AB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2016/679 и Закона за защита на личните данни във връзка с достъпа ми до декларации за имущество и интереси, подаде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 в Общински съвет – </w:t>
      </w:r>
      <w:r w:rsidR="000E06D6"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, както и че няма да разпространявам факти и обстоятелства от тези декларации, станали ми известни при изпълнение на служебните ми задължения.</w:t>
      </w:r>
    </w:p>
    <w:p w:rsidR="00D56C7C" w:rsidRPr="00EE7AB2" w:rsidRDefault="00D56C7C" w:rsidP="00D56C7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6C7C" w:rsidRPr="00EE7AB2" w:rsidRDefault="00D56C7C" w:rsidP="00D56C7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ДЕКЛАРАТОР :</w:t>
      </w:r>
    </w:p>
    <w:p w:rsidR="00D56C7C" w:rsidRDefault="00D56C7C" w:rsidP="00557081">
      <w:pPr>
        <w:jc w:val="both"/>
        <w:rPr>
          <w:rFonts w:ascii="Arial" w:eastAsia="Times New Roman" w:hAnsi="Arial" w:cs="Arial"/>
          <w:color w:val="000000"/>
          <w:lang w:val="en-US"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……………….</w:t>
      </w:r>
      <w:r w:rsidR="00BE174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6C7C" w:rsidSect="00FF730D">
      <w:headerReference w:type="default" r:id="rId8"/>
      <w:footerReference w:type="default" r:id="rId9"/>
      <w:pgSz w:w="11906" w:h="16838"/>
      <w:pgMar w:top="851" w:right="849" w:bottom="1135" w:left="1417" w:header="708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0E" w:rsidRDefault="005A730E">
      <w:pPr>
        <w:spacing w:after="0" w:line="240" w:lineRule="auto"/>
      </w:pPr>
      <w:r>
        <w:separator/>
      </w:r>
    </w:p>
  </w:endnote>
  <w:endnote w:type="continuationSeparator" w:id="0">
    <w:p w:rsidR="005A730E" w:rsidRDefault="005A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639627"/>
      <w:docPartObj>
        <w:docPartGallery w:val="Page Numbers (Bottom of Page)"/>
        <w:docPartUnique/>
      </w:docPartObj>
    </w:sdtPr>
    <w:sdtEndPr/>
    <w:sdtContent>
      <w:p w:rsidR="00FF730D" w:rsidRDefault="00FF73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AF" w:rsidRPr="00FB7FAF">
          <w:rPr>
            <w:noProof/>
            <w:lang w:val="bg-BG"/>
          </w:rPr>
          <w:t>1</w:t>
        </w:r>
        <w:r>
          <w:fldChar w:fldCharType="end"/>
        </w:r>
      </w:p>
    </w:sdtContent>
  </w:sdt>
  <w:p w:rsidR="00FC3D46" w:rsidRPr="00FC3D46" w:rsidRDefault="005A730E">
    <w:pPr>
      <w:pStyle w:val="a3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0E" w:rsidRDefault="005A730E">
      <w:pPr>
        <w:spacing w:after="0" w:line="240" w:lineRule="auto"/>
      </w:pPr>
      <w:r>
        <w:separator/>
      </w:r>
    </w:p>
  </w:footnote>
  <w:footnote w:type="continuationSeparator" w:id="0">
    <w:p w:rsidR="005A730E" w:rsidRDefault="005A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957066579"/>
      <w:docPartObj>
        <w:docPartGallery w:val="Page Numbers (Top of Page)"/>
        <w:docPartUnique/>
      </w:docPartObj>
    </w:sdtPr>
    <w:sdtEndPr/>
    <w:sdtContent>
      <w:p w:rsidR="00FF730D" w:rsidRDefault="00FF730D" w:rsidP="00616201">
        <w:pPr>
          <w:pStyle w:val="a6"/>
          <w:jc w:val="right"/>
          <w:rPr>
            <w:sz w:val="14"/>
            <w:szCs w:val="14"/>
          </w:rPr>
        </w:pPr>
        <w:r w:rsidRPr="00FF730D">
          <w:rPr>
            <w:sz w:val="14"/>
            <w:szCs w:val="14"/>
          </w:rPr>
          <w:t>Проект на Вътрешни правила за организацията и реда за проверка на декларации и за установяване на конфликт на интереси в Общински съвет-Елин Пелин</w:t>
        </w:r>
      </w:p>
      <w:p w:rsidR="00FF730D" w:rsidRDefault="00FF730D" w:rsidP="00616201">
        <w:pPr>
          <w:pStyle w:val="a6"/>
          <w:jc w:val="right"/>
          <w:rPr>
            <w:sz w:val="14"/>
            <w:szCs w:val="14"/>
          </w:rPr>
        </w:pPr>
        <w:r>
          <w:rPr>
            <w:noProof/>
            <w:sz w:val="14"/>
            <w:szCs w:val="14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-661670</wp:posOffset>
                  </wp:positionH>
                  <wp:positionV relativeFrom="paragraph">
                    <wp:posOffset>80010</wp:posOffset>
                  </wp:positionV>
                  <wp:extent cx="7115175" cy="0"/>
                  <wp:effectExtent l="0" t="0" r="9525" b="19050"/>
                  <wp:wrapNone/>
                  <wp:docPr id="4" name="Право съединение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15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Право съединение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6.3pt" to="508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" strokecolor="black [3040]"/>
              </w:pict>
            </mc:Fallback>
          </mc:AlternateContent>
        </w:r>
      </w:p>
      <w:p w:rsidR="008A255C" w:rsidRPr="00FF730D" w:rsidRDefault="005A730E" w:rsidP="00616201">
        <w:pPr>
          <w:pStyle w:val="a6"/>
          <w:jc w:val="right"/>
          <w:rPr>
            <w:sz w:val="14"/>
            <w:szCs w:val="1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13"/>
    <w:multiLevelType w:val="hybridMultilevel"/>
    <w:tmpl w:val="61A466C8"/>
    <w:lvl w:ilvl="0" w:tplc="CE985D2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2AD"/>
    <w:multiLevelType w:val="hybridMultilevel"/>
    <w:tmpl w:val="35F42D5E"/>
    <w:lvl w:ilvl="0" w:tplc="F6A4B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36DFC"/>
    <w:multiLevelType w:val="hybridMultilevel"/>
    <w:tmpl w:val="8A94F16E"/>
    <w:lvl w:ilvl="0" w:tplc="6D26C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1C6440"/>
    <w:multiLevelType w:val="hybridMultilevel"/>
    <w:tmpl w:val="59127D0A"/>
    <w:lvl w:ilvl="0" w:tplc="6F72E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CD5F47"/>
    <w:multiLevelType w:val="hybridMultilevel"/>
    <w:tmpl w:val="D8C82BEA"/>
    <w:lvl w:ilvl="0" w:tplc="7CD6C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FF655F"/>
    <w:multiLevelType w:val="hybridMultilevel"/>
    <w:tmpl w:val="2EF243E6"/>
    <w:lvl w:ilvl="0" w:tplc="D4F2D94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F67EA"/>
    <w:multiLevelType w:val="hybridMultilevel"/>
    <w:tmpl w:val="9C640D5C"/>
    <w:lvl w:ilvl="0" w:tplc="F5FE9C3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E5E3507"/>
    <w:multiLevelType w:val="hybridMultilevel"/>
    <w:tmpl w:val="3D3C719C"/>
    <w:lvl w:ilvl="0" w:tplc="0D5AA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A15118"/>
    <w:multiLevelType w:val="hybridMultilevel"/>
    <w:tmpl w:val="8DDA4E8A"/>
    <w:lvl w:ilvl="0" w:tplc="17DE0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373EBF"/>
    <w:multiLevelType w:val="hybridMultilevel"/>
    <w:tmpl w:val="43CC624A"/>
    <w:lvl w:ilvl="0" w:tplc="BE5C5C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69"/>
    <w:rsid w:val="00002277"/>
    <w:rsid w:val="00053220"/>
    <w:rsid w:val="00066858"/>
    <w:rsid w:val="00077603"/>
    <w:rsid w:val="000842F1"/>
    <w:rsid w:val="00085ECD"/>
    <w:rsid w:val="000B46EC"/>
    <w:rsid w:val="000E06D6"/>
    <w:rsid w:val="000E10F8"/>
    <w:rsid w:val="000F71F3"/>
    <w:rsid w:val="00144753"/>
    <w:rsid w:val="0015557F"/>
    <w:rsid w:val="0016548B"/>
    <w:rsid w:val="001A0E97"/>
    <w:rsid w:val="0021542A"/>
    <w:rsid w:val="00335B37"/>
    <w:rsid w:val="003420E4"/>
    <w:rsid w:val="0036371A"/>
    <w:rsid w:val="00385519"/>
    <w:rsid w:val="003B710E"/>
    <w:rsid w:val="003F0017"/>
    <w:rsid w:val="004137AA"/>
    <w:rsid w:val="00421121"/>
    <w:rsid w:val="00425567"/>
    <w:rsid w:val="00436B5F"/>
    <w:rsid w:val="00444696"/>
    <w:rsid w:val="004642D6"/>
    <w:rsid w:val="00486C8A"/>
    <w:rsid w:val="004A1085"/>
    <w:rsid w:val="00506345"/>
    <w:rsid w:val="00537446"/>
    <w:rsid w:val="00557081"/>
    <w:rsid w:val="00586AFB"/>
    <w:rsid w:val="00597789"/>
    <w:rsid w:val="005A581E"/>
    <w:rsid w:val="005A730E"/>
    <w:rsid w:val="005B2693"/>
    <w:rsid w:val="00616201"/>
    <w:rsid w:val="00623394"/>
    <w:rsid w:val="00647A92"/>
    <w:rsid w:val="006572C7"/>
    <w:rsid w:val="00667E6E"/>
    <w:rsid w:val="00682E8B"/>
    <w:rsid w:val="006A5FA1"/>
    <w:rsid w:val="00717B2F"/>
    <w:rsid w:val="0072308A"/>
    <w:rsid w:val="007404B7"/>
    <w:rsid w:val="00755435"/>
    <w:rsid w:val="00766A5E"/>
    <w:rsid w:val="00773DCA"/>
    <w:rsid w:val="007A0E8A"/>
    <w:rsid w:val="00805D0B"/>
    <w:rsid w:val="00847350"/>
    <w:rsid w:val="008A255C"/>
    <w:rsid w:val="008B3464"/>
    <w:rsid w:val="008C62EF"/>
    <w:rsid w:val="00941E50"/>
    <w:rsid w:val="0095358B"/>
    <w:rsid w:val="00964C54"/>
    <w:rsid w:val="009B6E3C"/>
    <w:rsid w:val="009F1C23"/>
    <w:rsid w:val="009F5E2A"/>
    <w:rsid w:val="009F7C2F"/>
    <w:rsid w:val="00A63623"/>
    <w:rsid w:val="00B34FE3"/>
    <w:rsid w:val="00B360EF"/>
    <w:rsid w:val="00B40ACC"/>
    <w:rsid w:val="00BE1742"/>
    <w:rsid w:val="00BE194C"/>
    <w:rsid w:val="00C16B1F"/>
    <w:rsid w:val="00C54426"/>
    <w:rsid w:val="00C60390"/>
    <w:rsid w:val="00C827BC"/>
    <w:rsid w:val="00C8780D"/>
    <w:rsid w:val="00C93C1A"/>
    <w:rsid w:val="00CB1DEC"/>
    <w:rsid w:val="00CD1501"/>
    <w:rsid w:val="00CD25B2"/>
    <w:rsid w:val="00CF7661"/>
    <w:rsid w:val="00D21355"/>
    <w:rsid w:val="00D56C7C"/>
    <w:rsid w:val="00D621F8"/>
    <w:rsid w:val="00D64B69"/>
    <w:rsid w:val="00DB2726"/>
    <w:rsid w:val="00DE6032"/>
    <w:rsid w:val="00E215C0"/>
    <w:rsid w:val="00E26F6A"/>
    <w:rsid w:val="00E363D1"/>
    <w:rsid w:val="00E61FEC"/>
    <w:rsid w:val="00E6789C"/>
    <w:rsid w:val="00E80F19"/>
    <w:rsid w:val="00E8670B"/>
    <w:rsid w:val="00EC1AA5"/>
    <w:rsid w:val="00F04BFA"/>
    <w:rsid w:val="00F120ED"/>
    <w:rsid w:val="00F50C17"/>
    <w:rsid w:val="00F51950"/>
    <w:rsid w:val="00F5558D"/>
    <w:rsid w:val="00F57F7E"/>
    <w:rsid w:val="00FB0EC9"/>
    <w:rsid w:val="00FB6266"/>
    <w:rsid w:val="00FB7FAF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77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59778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pple-converted-space">
    <w:name w:val="apple-converted-space"/>
    <w:basedOn w:val="a0"/>
    <w:rsid w:val="00597789"/>
  </w:style>
  <w:style w:type="paragraph" w:styleId="a5">
    <w:name w:val="List Paragraph"/>
    <w:basedOn w:val="a"/>
    <w:uiPriority w:val="34"/>
    <w:qFormat/>
    <w:rsid w:val="00D56C7C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A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A255C"/>
  </w:style>
  <w:style w:type="character" w:styleId="a8">
    <w:name w:val="Hyperlink"/>
    <w:basedOn w:val="a0"/>
    <w:uiPriority w:val="99"/>
    <w:unhideWhenUsed/>
    <w:rsid w:val="008A25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77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59778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pple-converted-space">
    <w:name w:val="apple-converted-space"/>
    <w:basedOn w:val="a0"/>
    <w:rsid w:val="00597789"/>
  </w:style>
  <w:style w:type="paragraph" w:styleId="a5">
    <w:name w:val="List Paragraph"/>
    <w:basedOn w:val="a"/>
    <w:uiPriority w:val="34"/>
    <w:qFormat/>
    <w:rsid w:val="00D56C7C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A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A255C"/>
  </w:style>
  <w:style w:type="character" w:styleId="a8">
    <w:name w:val="Hyperlink"/>
    <w:basedOn w:val="a0"/>
    <w:uiPriority w:val="99"/>
    <w:unhideWhenUsed/>
    <w:rsid w:val="008A25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9</cp:revision>
  <cp:lastPrinted>2018-10-24T05:50:00Z</cp:lastPrinted>
  <dcterms:created xsi:type="dcterms:W3CDTF">2018-10-23T08:00:00Z</dcterms:created>
  <dcterms:modified xsi:type="dcterms:W3CDTF">2018-10-24T10:23:00Z</dcterms:modified>
</cp:coreProperties>
</file>